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58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附件1</w:t>
      </w:r>
    </w:p>
    <w:p w14:paraId="24680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关于开展2026年“人工智能+”应用案例</w:t>
      </w:r>
    </w:p>
    <w:p w14:paraId="09EBE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征集活动的通知</w:t>
      </w:r>
    </w:p>
    <w:p w14:paraId="68B61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各相关单位：</w:t>
      </w:r>
    </w:p>
    <w:p w14:paraId="718A6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当前，人工智能技术正加速向实体经济、社会治理、民生服务等各领域深度渗透融合，</w:t>
      </w:r>
      <w:r>
        <w:rPr>
          <w:rFonts w:hint="eastAsia" w:ascii="仿宋_GB2312" w:hAnsi="仿宋_GB2312" w:eastAsia="仿宋_GB2312" w:cs="仿宋_GB2312"/>
          <w:sz w:val="32"/>
          <w:szCs w:val="32"/>
        </w:rPr>
        <w:t>前沿技术加速突破，多场景智能化创新迸发，为产业智能化升级提供核心动能。</w:t>
      </w:r>
      <w:r>
        <w:rPr>
          <w:rFonts w:ascii="仿宋_GB2312" w:hAnsi="仿宋_GB2312" w:eastAsia="仿宋_GB2312" w:cs="仿宋_GB2312"/>
          <w:sz w:val="32"/>
          <w:szCs w:val="32"/>
        </w:rPr>
        <w:t>为深入贯彻落实《国务院关于深入实施“人工智能+”行动的意见》文件精神，系统发掘梳理各行业人工智能创新应用成果，推广可复制、可落地的成熟实践模式，搭建产学研用产业交流对接平台，中国互联网协会</w:t>
      </w:r>
      <w:r>
        <w:rPr>
          <w:rFonts w:hint="eastAsia" w:ascii="仿宋_GB2312" w:hAnsi="仿宋_GB2312" w:eastAsia="仿宋_GB2312" w:cs="仿宋_GB2312"/>
          <w:sz w:val="32"/>
          <w:szCs w:val="32"/>
        </w:rPr>
        <w:t>计划</w:t>
      </w:r>
      <w:r>
        <w:rPr>
          <w:rFonts w:ascii="仿宋_GB2312" w:hAnsi="仿宋_GB2312" w:eastAsia="仿宋_GB2312" w:cs="仿宋_GB2312"/>
          <w:sz w:val="32"/>
          <w:szCs w:val="32"/>
        </w:rPr>
        <w:t>组织开展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2026年“人工智能+”应用案例征集活动</w:t>
      </w:r>
      <w:r>
        <w:rPr>
          <w:rFonts w:ascii="仿宋_GB2312" w:hAnsi="仿宋_GB2312" w:eastAsia="仿宋_GB2312" w:cs="仿宋_GB2312"/>
          <w:sz w:val="32"/>
          <w:szCs w:val="32"/>
        </w:rPr>
        <w:t>。本次活动将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汇聚</w:t>
      </w:r>
      <w:r>
        <w:rPr>
          <w:rFonts w:ascii="仿宋_GB2312" w:hAnsi="仿宋_GB2312" w:eastAsia="仿宋_GB2312" w:cs="仿宋_GB2312"/>
          <w:sz w:val="32"/>
          <w:szCs w:val="32"/>
        </w:rPr>
        <w:t>一批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兼具</w:t>
      </w:r>
      <w:r>
        <w:rPr>
          <w:rFonts w:ascii="仿宋_GB2312" w:hAnsi="仿宋_GB2312" w:eastAsia="仿宋_GB2312" w:cs="仿宋_GB2312"/>
          <w:sz w:val="32"/>
          <w:szCs w:val="32"/>
        </w:rPr>
        <w:t>创新性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与</w:t>
      </w:r>
      <w:r>
        <w:rPr>
          <w:rFonts w:ascii="仿宋_GB2312" w:hAnsi="仿宋_GB2312" w:eastAsia="仿宋_GB2312" w:cs="仿宋_GB2312"/>
          <w:sz w:val="32"/>
          <w:szCs w:val="32"/>
        </w:rPr>
        <w:t>落地成效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ascii="仿宋_GB2312" w:hAnsi="仿宋_GB2312" w:eastAsia="仿宋_GB2312" w:cs="仿宋_GB2312"/>
          <w:sz w:val="32"/>
          <w:szCs w:val="32"/>
        </w:rPr>
        <w:t>案例，助力各行各业提质增效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推动</w:t>
      </w:r>
      <w:r>
        <w:rPr>
          <w:rFonts w:ascii="仿宋_GB2312" w:hAnsi="仿宋_GB2312" w:eastAsia="仿宋_GB2312" w:cs="仿宋_GB2312"/>
          <w:sz w:val="32"/>
          <w:szCs w:val="32"/>
        </w:rPr>
        <w:t>人工智能技术迭代升级与规模化落地，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全面</w:t>
      </w:r>
      <w:r>
        <w:rPr>
          <w:rFonts w:ascii="仿宋_GB2312" w:hAnsi="仿宋_GB2312" w:eastAsia="仿宋_GB2312" w:cs="仿宋_GB2312"/>
          <w:sz w:val="32"/>
          <w:szCs w:val="32"/>
        </w:rPr>
        <w:t>赋能“人工智能+”产业生态高质量发展。</w:t>
      </w:r>
    </w:p>
    <w:p w14:paraId="3BC22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一、征集方向</w:t>
      </w:r>
    </w:p>
    <w:p w14:paraId="6D606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对照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国家文件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六大重点行动领域与基础支撑能力建设要求，结合人工智能技术前沿创新方向、产业实际痛点和市场应用需求，本次案例征集围绕以下七大核心方向开展。</w:t>
      </w:r>
    </w:p>
    <w:p w14:paraId="16A2946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default" w:ascii="楷体_GB2312" w:hAnsi="楷体_GB2312" w:eastAsia="楷体_GB2312" w:cs="楷体_GB2312"/>
          <w:sz w:val="32"/>
          <w:szCs w:val="32"/>
        </w:rPr>
        <w:t>（一）“人工智能+”科学技术</w:t>
      </w:r>
      <w:r>
        <w:rPr>
          <w:rFonts w:ascii="楷体_GB2312" w:hAnsi="楷体_GB2312" w:eastAsia="楷体_GB2312" w:cs="楷体_GB2312"/>
          <w:sz w:val="32"/>
          <w:szCs w:val="32"/>
        </w:rPr>
        <w:t>方向</w:t>
      </w:r>
    </w:p>
    <w:p w14:paraId="01068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bidi="ar"/>
        </w:rPr>
        <w:t>1.</w:t>
      </w:r>
      <w:r>
        <w:rPr>
          <w:rFonts w:ascii="仿宋_GB2312" w:hAnsi="仿宋_GB2312" w:eastAsia="仿宋_GB2312" w:cs="仿宋_GB2312"/>
          <w:b/>
          <w:bCs/>
          <w:sz w:val="32"/>
          <w:szCs w:val="32"/>
          <w:lang w:bidi="ar"/>
        </w:rPr>
        <w:t>科研智能创新场景：</w:t>
      </w:r>
      <w:r>
        <w:rPr>
          <w:rFonts w:ascii="仿宋_GB2312" w:hAnsi="仿宋_GB2312" w:eastAsia="仿宋_GB2312" w:cs="仿宋_GB2312"/>
          <w:sz w:val="32"/>
          <w:szCs w:val="32"/>
          <w:lang w:bidi="ar"/>
        </w:rPr>
        <w:t>科学大模型应用、科研实验智能仿真、研发数据智能分析、跨学科技术协同攻关、科研瓶颈智能突破、前沿技术趋势研判等。</w:t>
      </w:r>
    </w:p>
    <w:p w14:paraId="2F126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bidi="ar"/>
        </w:rPr>
        <w:t>2.</w:t>
      </w:r>
      <w:r>
        <w:rPr>
          <w:rFonts w:ascii="仿宋_GB2312" w:hAnsi="仿宋_GB2312" w:eastAsia="仿宋_GB2312" w:cs="仿宋_GB2312"/>
          <w:b/>
          <w:bCs/>
          <w:sz w:val="32"/>
          <w:szCs w:val="32"/>
          <w:lang w:bidi="ar"/>
        </w:rPr>
        <w:t>产业技术攻关场景：</w:t>
      </w:r>
      <w:r>
        <w:rPr>
          <w:rFonts w:ascii="仿宋_GB2312" w:hAnsi="仿宋_GB2312" w:eastAsia="仿宋_GB2312" w:cs="仿宋_GB2312"/>
          <w:sz w:val="32"/>
          <w:szCs w:val="32"/>
          <w:lang w:bidi="ar"/>
        </w:rPr>
        <w:t>生物医药智能研发、新材料仿真测试、前沿技术迭代优化、工业技术难题智能破解、核心技术自主创新赋能等。</w:t>
      </w:r>
    </w:p>
    <w:p w14:paraId="531E2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bidi="ar"/>
        </w:rPr>
        <w:t>3.</w:t>
      </w:r>
      <w:r>
        <w:rPr>
          <w:rFonts w:ascii="仿宋_GB2312" w:hAnsi="仿宋_GB2312" w:eastAsia="仿宋_GB2312" w:cs="仿宋_GB2312"/>
          <w:b/>
          <w:bCs/>
          <w:sz w:val="32"/>
          <w:szCs w:val="32"/>
          <w:lang w:bidi="ar"/>
        </w:rPr>
        <w:t>科研配套服务场景：</w:t>
      </w:r>
      <w:r>
        <w:rPr>
          <w:rFonts w:ascii="仿宋_GB2312" w:hAnsi="仿宋_GB2312" w:eastAsia="仿宋_GB2312" w:cs="仿宋_GB2312"/>
          <w:sz w:val="32"/>
          <w:szCs w:val="32"/>
          <w:lang w:bidi="ar"/>
        </w:rPr>
        <w:t>科研基础设施智能化升级、智能研发工具搭建、社科数据挖掘研判、科研成果智能转化、产学研协同创新平台应用等。</w:t>
      </w:r>
    </w:p>
    <w:p w14:paraId="3A9CD48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default" w:ascii="楷体_GB2312" w:hAnsi="楷体_GB2312" w:eastAsia="楷体_GB2312" w:cs="楷体_GB2312"/>
          <w:color w:val="000000"/>
          <w:sz w:val="32"/>
          <w:szCs w:val="32"/>
        </w:rPr>
        <w:t>（二）“人工智能+”产业发展</w:t>
      </w:r>
      <w:r>
        <w:rPr>
          <w:rFonts w:ascii="楷体_GB2312" w:hAnsi="楷体_GB2312" w:eastAsia="楷体_GB2312" w:cs="楷体_GB2312"/>
          <w:color w:val="000000"/>
          <w:sz w:val="32"/>
          <w:szCs w:val="32"/>
        </w:rPr>
        <w:t>方向</w:t>
      </w:r>
    </w:p>
    <w:p w14:paraId="0E306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4.</w:t>
      </w: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工业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制造</w:t>
      </w: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场景：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产品智能仿真、生产智能调度、设备预判运维、产品质量智能检测、产线人机协同、供应链智能管控、工业大模型应用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 w:bidi="ar"/>
        </w:rPr>
        <w:t>、工程数字孪生、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工业智能体互联互通、具身智能机器人柔性制造、工业机器人自主巡检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等。</w:t>
      </w:r>
    </w:p>
    <w:p w14:paraId="4E9EF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5.现代</w:t>
      </w: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农业场景：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农事环境智能研判、智能农机作业调度、病虫害智能预警防治、农产品产销对接、智慧种植养殖、耕地资源智能监测、农业数字化提质增效等。</w:t>
      </w:r>
    </w:p>
    <w:p w14:paraId="7B143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6.</w:t>
      </w: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交通物流场景：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交通路况智能研判、通行效率智能优化、交通设施智能巡检运维、运输路径规划、仓储调度分拨、无人配送应用、跨境物流协同、供应链智能风控与溯源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 w:bidi="ar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交通智能体协同调度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等。</w:t>
      </w:r>
    </w:p>
    <w:p w14:paraId="452F7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7.</w:t>
      </w: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能源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电力场景</w:t>
      </w: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：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光伏风电智能运维、电网智能调度、电力设备智能巡检、能耗智能监测管控、能源设备故障预警、智慧矿山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建设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、双碳数据智能分析、新能源调度优化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、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数据中心新能源消纳优化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 w:bidi="ar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具身机器人协同电网巡检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。</w:t>
      </w:r>
    </w:p>
    <w:p w14:paraId="37148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8.信息通信场景：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信息通信基础设施运行状态智能感知、算力与网络故障智能诊断、运维知识智能检索、处置策略智能生成、运维操作智能编排、处置效果智能验证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 w:bidi="ar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bidi="ar"/>
        </w:rPr>
        <w:t>卫星网络智能管控、星上智能处理、遥感影像智能解译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等。</w:t>
      </w:r>
    </w:p>
    <w:p w14:paraId="3BC56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 w:bidi="ar"/>
        </w:rPr>
        <w:t>9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bidi="ar"/>
        </w:rPr>
        <w:t>.营销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 w:bidi="ar"/>
        </w:rPr>
        <w:t>服务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bidi="ar"/>
        </w:rPr>
        <w:t>场景：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bidi="ar"/>
        </w:rPr>
        <w:t>营销内容智能创作、用户画像与需求洞察、营销策略智能生成、广告创意与投放优化、个性化推荐与精准触达、智能导购与营销客服、营销智能体应用、生成式引擎优化、广告监测与流量反作弊、广告合规与品牌安全、数据隐私保护与合规流通、设备标识与归因分析、营销效果与转化运营优化等。</w:t>
      </w:r>
    </w:p>
    <w:p w14:paraId="114D3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10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</w:t>
      </w: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产业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创新</w:t>
      </w: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业态场景：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行业垂直大模型落地、产业流程智能重构、产业链协同升级、企业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全域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数字化转型、传统产业提质增效、AI赋能新质生产力培育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 w:bidi="ar"/>
        </w:rPr>
        <w:t>、服务流程自动化、AI—OPC全链路经营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等创新应用。</w:t>
      </w:r>
    </w:p>
    <w:p w14:paraId="0B739F4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default" w:ascii="楷体_GB2312" w:hAnsi="楷体_GB2312" w:eastAsia="楷体_GB2312" w:cs="楷体_GB2312"/>
          <w:color w:val="000000"/>
          <w:sz w:val="32"/>
          <w:szCs w:val="32"/>
        </w:rPr>
        <w:t>（三）“人工智能+”消费提质</w:t>
      </w:r>
      <w:r>
        <w:rPr>
          <w:rFonts w:ascii="楷体_GB2312" w:hAnsi="楷体_GB2312" w:eastAsia="楷体_GB2312" w:cs="楷体_GB2312"/>
          <w:color w:val="000000"/>
          <w:sz w:val="32"/>
          <w:szCs w:val="32"/>
        </w:rPr>
        <w:t>方向</w:t>
      </w:r>
    </w:p>
    <w:p w14:paraId="05C0D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11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</w:t>
      </w: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生活消费场景：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 w:bidi="ar"/>
        </w:rPr>
        <w:t>全屋智能主动服务、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智能家居联动、智能穿戴设备应用、便民消费智能匹配、个性化消费推荐、家政物业智能服务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、适老化智能消费品应用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等。</w:t>
      </w:r>
    </w:p>
    <w:p w14:paraId="54001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12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.智慧出行场景：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智能网联汽车应用、出行路况智能研判、公共交通智能调度、自动驾驶、网约车智能客服、智慧停车管理、出行服务路径规划等。</w:t>
      </w:r>
    </w:p>
    <w:p w14:paraId="0B0B1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13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</w:t>
      </w: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文旅文体场景：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沉浸式文旅体验、景区智慧运维、文旅内容智能创作、文博场馆数字化服务、非遗活化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展示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、赛事活动智能保障、文旅出行智能服务等。</w:t>
      </w:r>
    </w:p>
    <w:p w14:paraId="4FE01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14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.数字文娱场景：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AIGC图文音视频智能创作、AI影视/漫剧/综艺辅助制作、虚拟制片与特效生成、数字IP衍生开发、智能音乐绘画创作、多模态文娱产品创新、AR/VR空间智能消费体验等。</w:t>
      </w:r>
    </w:p>
    <w:p w14:paraId="48E61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15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</w:t>
      </w: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新型终端消费场景：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智能服务机器人、智能网联产品、低空体验消费、嵌入式智能终端、端侧轻量化AI设备、AI数字人服务、线上智能消费小程序、新型智能消费产品落地应用等。</w:t>
      </w:r>
    </w:p>
    <w:p w14:paraId="2F2DB29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default" w:ascii="楷体_GB2312" w:hAnsi="楷体_GB2312" w:eastAsia="楷体_GB2312" w:cs="楷体_GB2312"/>
          <w:color w:val="000000"/>
          <w:sz w:val="32"/>
          <w:szCs w:val="32"/>
        </w:rPr>
        <w:t>（四）“人工智能+”民生福祉</w:t>
      </w:r>
      <w:r>
        <w:rPr>
          <w:rFonts w:ascii="楷体_GB2312" w:hAnsi="楷体_GB2312" w:eastAsia="楷体_GB2312" w:cs="楷体_GB2312"/>
          <w:color w:val="000000"/>
          <w:sz w:val="32"/>
          <w:szCs w:val="32"/>
        </w:rPr>
        <w:t>方向</w:t>
      </w:r>
    </w:p>
    <w:p w14:paraId="3F68D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16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</w:t>
      </w: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智慧教育场景：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AI个性化因材施教、课堂智能辅助教学、课后学情智能分析、职业技能智能培训、终身学习数字化平台、特殊教育智能辅助、教育资源智能均衡匹配等。</w:t>
      </w:r>
    </w:p>
    <w:p w14:paraId="40880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17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</w:t>
      </w: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智慧医疗场景：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AI辅助临床诊疗、智能导医问诊、慢性病动态监测、公共卫生风险预警、医保智能结算服务、医疗资源智能调配、基层健康智能管理等。</w:t>
      </w:r>
    </w:p>
    <w:p w14:paraId="291DF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18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</w:t>
      </w: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民生保障场景：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智慧养老陪护、托育智能监管、就业岗位智能匹配、社保业务智能办理、特殊群体无障碍智能服务、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AI翻译、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社区便民智能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服务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等。</w:t>
      </w:r>
    </w:p>
    <w:p w14:paraId="32C88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19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</w:t>
      </w: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文化惠民场景：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AI数字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文化内容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创作、公共文化智能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传播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、传统文化创新演绎、全民文化服务智能升级等。</w:t>
      </w:r>
    </w:p>
    <w:p w14:paraId="5B01EE4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default" w:ascii="楷体_GB2312" w:hAnsi="楷体_GB2312" w:eastAsia="楷体_GB2312" w:cs="楷体_GB2312"/>
          <w:color w:val="000000"/>
          <w:sz w:val="32"/>
          <w:szCs w:val="32"/>
        </w:rPr>
        <w:t>（五）“人工智能+”治理能力</w:t>
      </w:r>
      <w:r>
        <w:rPr>
          <w:rFonts w:ascii="楷体_GB2312" w:hAnsi="楷体_GB2312" w:eastAsia="楷体_GB2312" w:cs="楷体_GB2312"/>
          <w:color w:val="000000"/>
          <w:sz w:val="32"/>
          <w:szCs w:val="32"/>
        </w:rPr>
        <w:t>方向</w:t>
      </w:r>
    </w:p>
    <w:p w14:paraId="24337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20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</w:t>
      </w: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政务服务场景：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智能政务审批、政务咨询数字助手、办事流程智能简化、政务数据共享复用、行政执法智能辅助、政务舆情智能研判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、机关办公协同自动化、社会信用智能评价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等。</w:t>
      </w:r>
    </w:p>
    <w:p w14:paraId="24337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21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</w:t>
      </w: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城乡治理场景：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城市一网统管、城市态势智能感知、城市设施智能运维、基层社区智能治理、市容环境智能巡查、城乡资源智能调度、基层治理数字化赋能等。</w:t>
      </w:r>
    </w:p>
    <w:p w14:paraId="1AD7A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22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</w:t>
      </w: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安全应急场景：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公共安全智能防控、森林防火智能监测、风险隐患智能排查、突发事件智能预警、应急救援智能调度、网络安全智能防护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 w:bidi="ar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具身智能应急救援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等。</w:t>
      </w:r>
    </w:p>
    <w:p w14:paraId="68BEE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23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</w:t>
      </w: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生态治理场景：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生态环境智能监测、碳排放智能核算管控、自然资源智能监管、水土大气智能研判、绿色低碳智能治理等。</w:t>
      </w:r>
    </w:p>
    <w:p w14:paraId="62E5368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ascii="楷体_GB2312" w:hAnsi="楷体_GB2312" w:eastAsia="楷体_GB2312" w:cs="楷体_GB2312"/>
          <w:color w:val="000000"/>
          <w:sz w:val="32"/>
          <w:szCs w:val="32"/>
        </w:rPr>
      </w:pPr>
      <w:r>
        <w:rPr>
          <w:rFonts w:ascii="楷体_GB2312" w:hAnsi="楷体_GB2312" w:eastAsia="楷体_GB2312" w:cs="楷体_GB2312"/>
          <w:color w:val="000000"/>
          <w:sz w:val="32"/>
          <w:szCs w:val="32"/>
        </w:rPr>
        <w:t>（六）“人工智能+”全球合作方向</w:t>
      </w:r>
    </w:p>
    <w:p w14:paraId="5ABBA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24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.普惠共享合作场景：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跨国算力调度共享、跨境行业数据集共建、跨境算力节点协同运行、跨国数据合规流通试点、智能化能力帮扶等。</w:t>
      </w:r>
    </w:p>
    <w:p w14:paraId="3D4F7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25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.全球治理协同场景：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国际人工智能技术标准研制、跨境算法安全协同研判、中外AI伦理治理交流、跨境风险联防共治实践、国际行业技术互认项目等。</w:t>
      </w:r>
    </w:p>
    <w:p w14:paraId="28692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26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.产业出海落地场景：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AI解决方案海外项目交付、智能软硬件产品海外市场落地运营、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算力与模型服务出海运营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、跨境数字智能服务输出、跨境电商智能运营、海外客户智能运维服务等。</w:t>
      </w:r>
    </w:p>
    <w:p w14:paraId="5A82A14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default" w:ascii="楷体_GB2312" w:hAnsi="楷体_GB2312" w:eastAsia="楷体_GB2312" w:cs="楷体_GB2312"/>
          <w:color w:val="000000"/>
          <w:sz w:val="32"/>
          <w:szCs w:val="32"/>
        </w:rPr>
        <w:t>（</w:t>
      </w:r>
      <w:r>
        <w:rPr>
          <w:rFonts w:ascii="楷体_GB2312" w:hAnsi="楷体_GB2312" w:eastAsia="楷体_GB2312" w:cs="楷体_GB2312"/>
          <w:color w:val="000000"/>
          <w:sz w:val="32"/>
          <w:szCs w:val="32"/>
        </w:rPr>
        <w:t>七</w:t>
      </w:r>
      <w:r>
        <w:rPr>
          <w:rFonts w:hint="default" w:ascii="楷体_GB2312" w:hAnsi="楷体_GB2312" w:eastAsia="楷体_GB2312" w:cs="楷体_GB2312"/>
          <w:color w:val="000000"/>
          <w:sz w:val="32"/>
          <w:szCs w:val="32"/>
        </w:rPr>
        <w:t>）“人工智能+”</w:t>
      </w:r>
      <w:r>
        <w:rPr>
          <w:rFonts w:ascii="楷体_GB2312" w:hAnsi="楷体_GB2312" w:eastAsia="楷体_GB2312" w:cs="楷体_GB2312"/>
          <w:color w:val="000000"/>
          <w:sz w:val="32"/>
          <w:szCs w:val="32"/>
        </w:rPr>
        <w:t>生态支撑方向</w:t>
      </w:r>
    </w:p>
    <w:p w14:paraId="5918F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27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.算力基础设施应用场景：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智能算力中心建设、国产化算力平台部署、边缘算力落地应用、算力网络互联互通、算力智能调度优化、普惠算力服务供给、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 w:bidi="ar"/>
        </w:rPr>
        <w:t>算电协同与绿色算力、算力网与国家基础设施协同、Token经济与价值创新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等。</w:t>
      </w:r>
    </w:p>
    <w:p w14:paraId="75F0D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28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.数据资源建设应用场景：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行业高质量数据集构建、数据清洗与标准化治理、数据共享开放、数据安全分级管理、AI训练数据提质扩容、垂直领域专属数据资源体系建设等。</w:t>
      </w:r>
    </w:p>
    <w:p w14:paraId="6F4E4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29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.大模型创新应用场景：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通用人工智能大模型适配优化、行业垂直大模型研发落地、轻量化模型普惠应用、大模型场景化微调适配、多模态模型创新落地等。</w:t>
      </w:r>
    </w:p>
    <w:p w14:paraId="0C46C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30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.智能体框架应用场景：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企业业务智能体快速部署复用、标准化模块化智能体落地适配、业务流程智能体自动编排执行、业务幻觉精准纠偏、复杂业务场景稳定自适应运行、业务场景自主迭代优化等。</w:t>
      </w:r>
    </w:p>
    <w:p w14:paraId="4A354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31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.开源与产业生态场景：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人工智能开源平台搭建、开源技术适配迭代、产业协同创新生态建设、产学研用协同赋能、中小微企业AI普惠服务、行业AI创新生态共建、AI人才培育与素养提升等。</w:t>
      </w:r>
    </w:p>
    <w:p w14:paraId="103B0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 w:bidi="ar"/>
        </w:rPr>
        <w:t>32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bidi="ar"/>
        </w:rPr>
        <w:t>.安全合规与伦理治理场景：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人工智能安全风控体系建设、AI应用合规管理、数据安全防护、算法风险监测预警、漏洞挖掘与修复、人工智能伦理规范落地、行业安全标准实践应用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 w:bidi="ar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AI产品检测认证、AIGC内容版权等。</w:t>
      </w:r>
    </w:p>
    <w:p w14:paraId="6FFA4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二、申报条件与要求</w:t>
      </w:r>
    </w:p>
    <w:p w14:paraId="1D35793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ascii="楷体_GB2312" w:hAnsi="楷体_GB2312" w:eastAsia="楷体_GB2312" w:cs="楷体_GB2312"/>
          <w:color w:val="000000"/>
          <w:sz w:val="32"/>
          <w:szCs w:val="32"/>
        </w:rPr>
      </w:pPr>
      <w:r>
        <w:rPr>
          <w:rFonts w:ascii="楷体_GB2312" w:hAnsi="楷体_GB2312" w:eastAsia="楷体_GB2312" w:cs="楷体_GB2312"/>
          <w:color w:val="000000"/>
          <w:sz w:val="32"/>
          <w:szCs w:val="32"/>
        </w:rPr>
        <w:t>（一）申报主体</w:t>
      </w:r>
    </w:p>
    <w:p w14:paraId="425CA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全国范围内从事人工智能技术研发、产品落地、场景应用、解决方案服务的企事业单位、科研院所、高校、产业机构、社会组织等，需具备独立法人资格，经营运行状况良好，近三年无重大违法违规与不良信用记录，申报案例知识产权权属清晰无纠纷。</w:t>
      </w:r>
    </w:p>
    <w:p w14:paraId="19E61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bidi="ar"/>
        </w:rPr>
        <w:t>同一申报单位可申报多个案例项目，同一方向申报数量不超过3个；支持独立申报与联合申报两种模式，联合申报单位总数不得超过5家，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 w:bidi="ar"/>
        </w:rPr>
        <w:t>其中1家为牵头申报单位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bidi="ar"/>
        </w:rPr>
        <w:t>。</w:t>
      </w:r>
    </w:p>
    <w:p w14:paraId="6E9C728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ascii="楷体_GB2312" w:hAnsi="楷体_GB2312" w:eastAsia="楷体_GB2312" w:cs="楷体_GB2312"/>
          <w:color w:val="000000"/>
          <w:sz w:val="32"/>
          <w:szCs w:val="32"/>
        </w:rPr>
      </w:pPr>
      <w:r>
        <w:rPr>
          <w:rFonts w:ascii="楷体_GB2312" w:hAnsi="楷体_GB2312" w:eastAsia="楷体_GB2312" w:cs="楷体_GB2312"/>
          <w:color w:val="000000"/>
          <w:sz w:val="32"/>
          <w:szCs w:val="32"/>
        </w:rPr>
        <w:t>（二）申报材料与提交方式</w:t>
      </w:r>
    </w:p>
    <w:p w14:paraId="1C0D9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申报材料：包含《2026“人工智能+”应用案例申报表》（见附件，要求提交Word电子版+盖章PDF扫描件）以及相关证明材料。</w:t>
      </w:r>
    </w:p>
    <w:p w14:paraId="7900ADA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2.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提交方式：申报单位登录平台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fldChar w:fldCharType="begin"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instrText xml:space="preserve"> HYPERLINK "https://ievnt.com/92570" </w:instrTex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fldChar w:fldCharType="separate"/>
      </w:r>
      <w:r>
        <w:rPr>
          <w:rStyle w:val="5"/>
          <w:rFonts w:hint="eastAsia" w:ascii="仿宋_GB2312" w:hAnsi="仿宋_GB2312" w:eastAsia="仿宋_GB2312" w:cs="仿宋_GB2312"/>
          <w:sz w:val="32"/>
          <w:szCs w:val="32"/>
          <w:lang w:bidi="ar"/>
        </w:rPr>
        <w:t>https://ievnt.com/92570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fldChar w:fldCharType="end"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进行报名，按照要求提交申报材料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 w:bidi="ar"/>
        </w:rPr>
        <w:t>同时将申报材料发送至省互联网协会邮箱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instrText xml:space="preserve"> HYPERLINK "mailto:hnisc2001@163.com。" </w:instrTex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hnisc2001@163.com并电话确认。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提交截止日期为2026年10月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28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日。</w:t>
      </w:r>
    </w:p>
    <w:p w14:paraId="792A1F8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ascii="楷体_GB2312" w:hAnsi="楷体_GB2312" w:eastAsia="楷体_GB2312" w:cs="楷体_GB2312"/>
          <w:color w:val="000000"/>
          <w:sz w:val="32"/>
          <w:szCs w:val="32"/>
        </w:rPr>
      </w:pPr>
      <w:r>
        <w:rPr>
          <w:rFonts w:ascii="楷体_GB2312" w:hAnsi="楷体_GB2312" w:eastAsia="楷体_GB2312" w:cs="楷体_GB2312"/>
          <w:color w:val="000000"/>
          <w:sz w:val="32"/>
          <w:szCs w:val="32"/>
        </w:rPr>
        <w:t>（三）申报要求</w:t>
      </w:r>
    </w:p>
    <w:p w14:paraId="74434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1.案例要求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已经实际完成、真实落地、持续运营的项目，具有自主知识产权、具有行业代表性和推广作用（已经申报过协会其他案例征集活动或往年申报过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 w:bidi="ar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项目，不得重复申报）；</w:t>
      </w:r>
    </w:p>
    <w:p w14:paraId="3CBEF8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2.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案例真实有效，落地场景清晰，数据、成效、技术内容真实可查，无虚假、夸大内容；</w:t>
      </w:r>
    </w:p>
    <w:p w14:paraId="1B822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3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.案例拥有合法知识产权，无侵权、纠纷、违规违法等问题，未涉及不良舆情及风险隐患；</w:t>
      </w:r>
    </w:p>
    <w:p w14:paraId="4701F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4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bidi="ar"/>
        </w:rPr>
        <w:t>.申报材料完整规范，严格按照协会统一模板填报，内容详实、重点突出、逻辑清晰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；</w:t>
      </w:r>
    </w:p>
    <w:p w14:paraId="6CEA5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bidi="ar"/>
        </w:rPr>
        <w:t>5.本次活动不收取任何报名费用，各单位自愿申报参与，活动最终解释权归主办单位所有。</w:t>
      </w:r>
    </w:p>
    <w:p w14:paraId="5709B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三、活动安排</w:t>
      </w:r>
    </w:p>
    <w:p w14:paraId="55CE3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（一）征集阶段（9月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16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日—10月31日）</w:t>
      </w:r>
    </w:p>
    <w:p w14:paraId="70828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通过协会官方网站、官方公众号、行业社群等渠道发布征集通知，接收各单位自主申报材料。</w:t>
      </w:r>
    </w:p>
    <w:p w14:paraId="283342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（二）评审阶段（11月1日—11月15日）</w:t>
      </w:r>
    </w:p>
    <w:p w14:paraId="5669C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主办方对申报材料进行形式审查，组织专家对符合要求的案例进行综合评审。</w:t>
      </w:r>
    </w:p>
    <w:p w14:paraId="5ECF5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（三）发布阶段（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12月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）</w:t>
      </w:r>
    </w:p>
    <w:p w14:paraId="675C1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在协会官方平台进行5个工作日公示，最终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结果在2026（第二届）“人工智能+”产业生态大会上发布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E1A8F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四、配套支持</w:t>
      </w:r>
    </w:p>
    <w:p w14:paraId="15F81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1.案例汇编：</w:t>
      </w:r>
      <w:r>
        <w:rPr>
          <w:rFonts w:hint="eastAsia" w:ascii="仿宋_GB2312" w:hAnsi="仿宋_GB2312" w:eastAsia="仿宋_GB2312" w:cs="仿宋_GB2312"/>
          <w:sz w:val="32"/>
          <w:szCs w:val="32"/>
        </w:rPr>
        <w:t>参选案例将汇编形成《2026“人工智能+”应用案例成果册》，通过协会官微等渠道公开发布，向产业及会员单位进行推送；</w:t>
      </w:r>
    </w:p>
    <w:p w14:paraId="26A6D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案例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发布：</w:t>
      </w:r>
      <w:r>
        <w:rPr>
          <w:rFonts w:hint="eastAsia" w:ascii="仿宋_GB2312" w:hAnsi="仿宋_GB2312" w:eastAsia="仿宋_GB2312" w:cs="仿宋_GB2312"/>
          <w:sz w:val="32"/>
          <w:szCs w:val="32"/>
        </w:rPr>
        <w:t>案例将在2026（第二届）“人工智能+”产业生态大会及配套专题交流活动进行现场发布，相关单位可自愿参与案例展示活动；</w:t>
      </w:r>
    </w:p>
    <w:p w14:paraId="57637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3.资源对接：</w:t>
      </w:r>
      <w:r>
        <w:rPr>
          <w:rFonts w:hint="eastAsia" w:ascii="仿宋_GB2312" w:hAnsi="仿宋_GB2312" w:eastAsia="仿宋_GB2312" w:cs="仿宋_GB2312"/>
          <w:sz w:val="32"/>
          <w:szCs w:val="32"/>
        </w:rPr>
        <w:t>协会将优先推荐相关单位参与产业调研、专题沙龙、企业互访等各类行业交流活动；优先邀请相关单位参与人工智能领域团体标准研制、联合课题研究等产学研合作工作；依托协会生态资源，为企业搭建供需对接、产业链协同合作渠道；</w:t>
      </w:r>
    </w:p>
    <w:p w14:paraId="1FAA2F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4.品牌赋能：</w:t>
      </w:r>
      <w:r>
        <w:rPr>
          <w:rFonts w:hint="eastAsia" w:ascii="仿宋_GB2312" w:hAnsi="仿宋_GB2312" w:eastAsia="仿宋_GB2312" w:cs="仿宋_GB2312"/>
          <w:sz w:val="32"/>
          <w:szCs w:val="32"/>
        </w:rPr>
        <w:t>依托协会官方传播矩阵以及大会系列宣传资源，对案例开展专题推文、新闻报道等系列宣传；</w:t>
      </w:r>
    </w:p>
    <w:p w14:paraId="6B777C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5.交流研讨：</w:t>
      </w:r>
      <w:r>
        <w:rPr>
          <w:rFonts w:hint="eastAsia" w:ascii="仿宋_GB2312" w:hAnsi="仿宋_GB2312" w:eastAsia="仿宋_GB2312" w:cs="仿宋_GB2312"/>
          <w:sz w:val="32"/>
          <w:szCs w:val="32"/>
        </w:rPr>
        <w:t>邀请案例代表单位参加大会配套闭门研讨、案例经验交流会，与行业专家、产业链上下游主体开展深度交流，共享产业发展经验。</w:t>
      </w:r>
    </w:p>
    <w:p w14:paraId="3238D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</w:rPr>
        <w:t>五、联系方式</w:t>
      </w:r>
    </w:p>
    <w:p w14:paraId="0158A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中国互联网协会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创新发展与人才工作部</w:t>
      </w:r>
    </w:p>
    <w:p w14:paraId="65446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老师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010-57234929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ascii="仿宋_GB2312" w:hAnsi="仿宋_GB2312" w:eastAsia="仿宋_GB2312" w:cs="仿宋_GB2312"/>
          <w:sz w:val="32"/>
          <w:szCs w:val="32"/>
        </w:rPr>
        <w:t>106</w:t>
      </w:r>
      <w:r>
        <w:rPr>
          <w:rFonts w:hint="eastAsia" w:ascii="仿宋_GB2312" w:hAnsi="仿宋_GB2312" w:eastAsia="仿宋_GB2312" w:cs="仿宋_GB2312"/>
          <w:sz w:val="32"/>
          <w:szCs w:val="32"/>
        </w:rPr>
        <w:t>2/13919461691</w:t>
      </w:r>
    </w:p>
    <w:p w14:paraId="3AFF1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宋老师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010-57234929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52</w:t>
      </w:r>
      <w:r>
        <w:rPr>
          <w:rFonts w:hint="eastAsia" w:ascii="仿宋_GB2312" w:hAnsi="仿宋_GB2312" w:eastAsia="仿宋_GB2312" w:cs="仿宋_GB2312"/>
          <w:sz w:val="32"/>
          <w:szCs w:val="32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13581953101</w:t>
      </w:r>
    </w:p>
    <w:p w14:paraId="64318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箱：</w:t>
      </w:r>
      <w:r>
        <w:rPr>
          <w:rFonts w:hint="eastAsia" w:ascii="仿宋_GB2312" w:hAnsi="仿宋_GB2312" w:eastAsia="仿宋_GB2312" w:cs="仿宋_GB2312"/>
          <w:sz w:val="32"/>
          <w:szCs w:val="32"/>
        </w:rPr>
        <w:t>lishengju</w:t>
      </w:r>
      <w:r>
        <w:rPr>
          <w:rFonts w:ascii="仿宋_GB2312" w:hAnsi="仿宋_GB2312" w:eastAsia="仿宋_GB2312" w:cs="仿宋_GB2312"/>
          <w:sz w:val="32"/>
          <w:szCs w:val="32"/>
        </w:rPr>
        <w:t>@isc.org.cn</w:t>
      </w:r>
    </w:p>
    <w:p w14:paraId="5E31E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址：北京市学院路42号中国互联网协会101</w:t>
      </w:r>
      <w:r>
        <w:rPr>
          <w:rFonts w:hint="eastAsia" w:ascii="仿宋_GB2312" w:hAnsi="仿宋_GB2312" w:eastAsia="仿宋_GB2312" w:cs="仿宋_GB2312"/>
          <w:sz w:val="32"/>
          <w:szCs w:val="32"/>
        </w:rPr>
        <w:t>6</w:t>
      </w:r>
      <w:r>
        <w:rPr>
          <w:rFonts w:ascii="仿宋_GB2312" w:hAnsi="仿宋_GB2312" w:eastAsia="仿宋_GB2312" w:cs="仿宋_GB2312"/>
          <w:sz w:val="32"/>
          <w:szCs w:val="32"/>
        </w:rPr>
        <w:t>室</w:t>
      </w:r>
    </w:p>
    <w:p w14:paraId="383923A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4D57B3"/>
    <w:rsid w:val="6926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4154</Words>
  <Characters>4411</Characters>
  <Lines>0</Lines>
  <Paragraphs>0</Paragraphs>
  <TotalTime>0</TotalTime>
  <ScaleCrop>false</ScaleCrop>
  <LinksUpToDate>false</LinksUpToDate>
  <CharactersWithSpaces>4419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2026-09-24T01:29:00Z</dcterms:created>
  <dc:creator>90725</dc:creator>
  <cp:lastModifiedBy>红花绿叶</cp:lastModifiedBy>
  <dcterms:modified xsi:type="dcterms:W3CDTF">2026-09-30T08:59:47Z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eyJoZGlkIjoiMGJhZmNjYjY5OTg1MmQ1NjRlYjVkZTVlNmRkOGY0ZGIiLCJ1c2VySWQiOiI5NjUzODQzODQifQ==</vt:lpwstr>
  </property>
  <property fmtid="{D5CDD505-2E9C-101B-9397-08002B2CF9AE}" pid="4" name="ICV">
    <vt:lpwstr>44A518A7D6F642039AC75A508ACCEC0E_12</vt:lpwstr>
  </property>
</Properties>
</file>